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62" w:rsidRDefault="00824862" w:rsidP="00824862">
      <w:pPr>
        <w:ind w:right="150"/>
        <w:rPr>
          <w:rFonts w:ascii="黑体" w:eastAsia="黑体" w:hAnsi="华文中宋"/>
          <w:b/>
          <w:bCs/>
          <w:sz w:val="30"/>
          <w:szCs w:val="30"/>
        </w:rPr>
      </w:pPr>
    </w:p>
    <w:p w:rsidR="00824862" w:rsidRDefault="00824862" w:rsidP="00824862">
      <w:pPr>
        <w:jc w:val="center"/>
        <w:rPr>
          <w:rFonts w:ascii="黑体" w:eastAsia="黑体"/>
          <w:b/>
          <w:bCs/>
          <w:sz w:val="30"/>
          <w:szCs w:val="30"/>
        </w:rPr>
      </w:pPr>
      <w:r>
        <w:rPr>
          <w:rFonts w:ascii="黑体" w:eastAsia="黑体" w:hint="eastAsia"/>
          <w:b/>
          <w:bCs/>
          <w:sz w:val="30"/>
          <w:szCs w:val="30"/>
        </w:rPr>
        <w:t>“第四届警察公共关系案例研讨会”征文须知</w:t>
      </w:r>
    </w:p>
    <w:p w:rsidR="00824862" w:rsidRDefault="00824862" w:rsidP="00824862">
      <w:pPr>
        <w:snapToGrid w:val="0"/>
        <w:spacing w:before="100" w:beforeAutospacing="1" w:line="300" w:lineRule="auto"/>
        <w:ind w:firstLineChars="200" w:firstLine="482"/>
        <w:rPr>
          <w:rFonts w:ascii="宋体" w:hAnsi="宋体"/>
          <w:b/>
          <w:sz w:val="24"/>
        </w:rPr>
      </w:pPr>
      <w:r>
        <w:rPr>
          <w:rFonts w:ascii="宋体" w:hAnsi="宋体" w:hint="eastAsia"/>
          <w:b/>
          <w:sz w:val="24"/>
        </w:rPr>
        <w:t>一、活动组织：</w:t>
      </w:r>
    </w:p>
    <w:p w:rsidR="00824862" w:rsidRDefault="00824862" w:rsidP="00824862">
      <w:pPr>
        <w:snapToGrid w:val="0"/>
        <w:spacing w:line="300" w:lineRule="auto"/>
        <w:ind w:firstLineChars="200" w:firstLine="480"/>
        <w:rPr>
          <w:rFonts w:ascii="宋体" w:hAnsi="宋体"/>
          <w:sz w:val="24"/>
        </w:rPr>
      </w:pPr>
      <w:r>
        <w:rPr>
          <w:rFonts w:ascii="宋体" w:hAnsi="宋体" w:hint="eastAsia"/>
          <w:sz w:val="24"/>
        </w:rPr>
        <w:t>主办单位：中国国际公共关系协会</w:t>
      </w:r>
    </w:p>
    <w:p w:rsidR="00824862" w:rsidRDefault="00824862" w:rsidP="00824862">
      <w:pPr>
        <w:snapToGrid w:val="0"/>
        <w:spacing w:line="300" w:lineRule="auto"/>
        <w:ind w:firstLineChars="200" w:firstLine="480"/>
        <w:rPr>
          <w:rFonts w:ascii="宋体" w:hAnsi="宋体"/>
          <w:sz w:val="24"/>
        </w:rPr>
      </w:pPr>
      <w:r>
        <w:rPr>
          <w:rFonts w:ascii="宋体" w:hAnsi="宋体" w:hint="eastAsia"/>
          <w:sz w:val="24"/>
        </w:rPr>
        <w:t>承办单位</w:t>
      </w:r>
      <w:r>
        <w:rPr>
          <w:rFonts w:ascii="宋体" w:hAnsi="宋体"/>
          <w:sz w:val="24"/>
        </w:rPr>
        <w:t>：</w:t>
      </w:r>
      <w:r>
        <w:rPr>
          <w:rFonts w:ascii="宋体" w:hAnsi="宋体" w:hint="eastAsia"/>
          <w:sz w:val="24"/>
        </w:rPr>
        <w:t>公安部公安发展战略研究所城市警务研究中心</w:t>
      </w:r>
    </w:p>
    <w:p w:rsidR="00824862" w:rsidRDefault="00824862" w:rsidP="00824862">
      <w:pPr>
        <w:snapToGrid w:val="0"/>
        <w:spacing w:line="300" w:lineRule="auto"/>
        <w:ind w:firstLineChars="700" w:firstLine="1680"/>
        <w:rPr>
          <w:rFonts w:ascii="宋体" w:hAnsi="宋体"/>
          <w:sz w:val="24"/>
        </w:rPr>
      </w:pPr>
      <w:r>
        <w:rPr>
          <w:rFonts w:ascii="宋体" w:hAnsi="宋体" w:hint="eastAsia"/>
          <w:sz w:val="24"/>
        </w:rPr>
        <w:t>中国国际公共关系协会</w:t>
      </w:r>
      <w:r>
        <w:rPr>
          <w:rFonts w:ascii="宋体" w:hAnsi="宋体"/>
          <w:sz w:val="24"/>
        </w:rPr>
        <w:t>警察公共关系专业委员会</w:t>
      </w:r>
    </w:p>
    <w:p w:rsidR="00824862" w:rsidRDefault="00824862" w:rsidP="00824862">
      <w:pPr>
        <w:snapToGrid w:val="0"/>
        <w:spacing w:line="300" w:lineRule="auto"/>
        <w:ind w:firstLineChars="200" w:firstLine="480"/>
        <w:rPr>
          <w:rFonts w:ascii="宋体" w:hAnsi="宋体"/>
          <w:sz w:val="24"/>
        </w:rPr>
      </w:pPr>
    </w:p>
    <w:p w:rsidR="00824862" w:rsidRDefault="00824862" w:rsidP="00824862">
      <w:pPr>
        <w:snapToGrid w:val="0"/>
        <w:spacing w:before="100" w:beforeAutospacing="1" w:line="300" w:lineRule="auto"/>
        <w:ind w:firstLineChars="200" w:firstLine="482"/>
        <w:rPr>
          <w:rFonts w:ascii="宋体" w:hAnsi="宋体"/>
          <w:sz w:val="24"/>
        </w:rPr>
      </w:pPr>
      <w:r>
        <w:rPr>
          <w:rFonts w:ascii="宋体" w:hAnsi="宋体" w:hint="eastAsia"/>
          <w:b/>
          <w:sz w:val="24"/>
        </w:rPr>
        <w:t>二、案例时间范围</w:t>
      </w:r>
      <w:r>
        <w:rPr>
          <w:rFonts w:ascii="宋体" w:hAnsi="宋体" w:hint="eastAsia"/>
          <w:sz w:val="24"/>
        </w:rPr>
        <w:t>：</w:t>
      </w:r>
    </w:p>
    <w:p w:rsidR="00824862" w:rsidRDefault="00824862" w:rsidP="00824862">
      <w:pPr>
        <w:snapToGrid w:val="0"/>
        <w:spacing w:line="300" w:lineRule="auto"/>
        <w:ind w:firstLineChars="200" w:firstLine="482"/>
        <w:rPr>
          <w:rFonts w:ascii="宋体"/>
          <w:sz w:val="24"/>
        </w:rPr>
      </w:pPr>
      <w:r>
        <w:rPr>
          <w:rFonts w:ascii="宋体" w:hint="eastAsia"/>
          <w:b/>
          <w:bCs/>
          <w:sz w:val="24"/>
        </w:rPr>
        <w:t>近三年期间</w:t>
      </w:r>
      <w:r>
        <w:rPr>
          <w:rFonts w:ascii="宋体" w:hint="eastAsia"/>
          <w:sz w:val="24"/>
        </w:rPr>
        <w:t>中国各级公安机关执行的警察公关项目。</w:t>
      </w:r>
    </w:p>
    <w:p w:rsidR="00824862" w:rsidRDefault="00824862" w:rsidP="00824862">
      <w:pPr>
        <w:snapToGrid w:val="0"/>
        <w:spacing w:before="100" w:beforeAutospacing="1" w:line="300" w:lineRule="auto"/>
        <w:ind w:firstLineChars="200" w:firstLine="482"/>
        <w:rPr>
          <w:rFonts w:ascii="宋体" w:hAnsi="宋体"/>
          <w:b/>
          <w:sz w:val="24"/>
        </w:rPr>
      </w:pPr>
      <w:r>
        <w:rPr>
          <w:rFonts w:ascii="宋体" w:hAnsi="宋体" w:hint="eastAsia"/>
          <w:b/>
          <w:sz w:val="24"/>
        </w:rPr>
        <w:t>三、</w:t>
      </w:r>
      <w:bookmarkStart w:id="0" w:name="OLE_LINK1"/>
      <w:bookmarkStart w:id="1" w:name="OLE_LINK2"/>
      <w:r>
        <w:rPr>
          <w:rFonts w:ascii="宋体" w:hAnsi="宋体" w:hint="eastAsia"/>
          <w:b/>
          <w:sz w:val="24"/>
        </w:rPr>
        <w:t>案例评审项目：</w:t>
      </w:r>
    </w:p>
    <w:p w:rsidR="00824862" w:rsidRDefault="00824862" w:rsidP="00824862">
      <w:pPr>
        <w:snapToGrid w:val="0"/>
        <w:spacing w:line="300" w:lineRule="auto"/>
        <w:ind w:firstLineChars="200" w:firstLine="480"/>
        <w:rPr>
          <w:rFonts w:ascii="宋体" w:hAnsi="宋体"/>
          <w:color w:val="000000"/>
          <w:sz w:val="24"/>
        </w:rPr>
      </w:pPr>
      <w:r>
        <w:rPr>
          <w:rFonts w:ascii="宋体" w:hAnsi="宋体" w:hint="eastAsia"/>
          <w:bCs/>
          <w:sz w:val="24"/>
        </w:rPr>
        <w:t>1、“第四届警察公共关系案例”征文</w:t>
      </w:r>
      <w:r>
        <w:rPr>
          <w:rFonts w:ascii="宋体" w:hAnsi="宋体" w:hint="eastAsia"/>
          <w:color w:val="000000"/>
          <w:sz w:val="24"/>
        </w:rPr>
        <w:t>评选，旨在从"怎么做"的角度深度了解中国警察公关的应用与发展水平，建立警察公关交流平台，展示近年来中国警察公关的优秀成果，推进中国警察公共关系事业的发展。案例内容包括： 1）警察公共关系战略管理；2）声誉管理（包括形象危机管理）；3）警察与公众的沟通管理；4）警察与公众合作管理。从公众对象分类上有：A警察社区公共关系；B警察与媒体关系；C警营关系；D警察与政府关系.从警种上分有：a交通 b治安 c消防刑侦 e铁路 f 林业---等等各警种的警察公共关系；9）边消警工作中的公共关系</w:t>
      </w:r>
      <w:bookmarkEnd w:id="0"/>
      <w:bookmarkEnd w:id="1"/>
      <w:r>
        <w:rPr>
          <w:rFonts w:ascii="宋体" w:hAnsi="宋体" w:hint="eastAsia"/>
          <w:color w:val="000000"/>
          <w:sz w:val="24"/>
        </w:rPr>
        <w:t>。来搞请注明分类文字。</w:t>
      </w:r>
    </w:p>
    <w:p w:rsidR="00824862" w:rsidRDefault="00824862" w:rsidP="00824862">
      <w:pPr>
        <w:snapToGrid w:val="0"/>
        <w:spacing w:line="300" w:lineRule="auto"/>
        <w:ind w:firstLineChars="200" w:firstLine="480"/>
        <w:rPr>
          <w:rFonts w:ascii="宋体" w:hAnsi="宋体"/>
          <w:color w:val="000000"/>
          <w:sz w:val="24"/>
        </w:rPr>
      </w:pPr>
      <w:r>
        <w:rPr>
          <w:rFonts w:hint="eastAsia"/>
          <w:sz w:val="24"/>
        </w:rPr>
        <w:t>2</w:t>
      </w:r>
      <w:r>
        <w:rPr>
          <w:rFonts w:hint="eastAsia"/>
          <w:sz w:val="24"/>
        </w:rPr>
        <w:t>、案例征文将评选中国最佳警察公共关系案例金奖、银奖</w:t>
      </w:r>
      <w:r>
        <w:rPr>
          <w:rFonts w:ascii="宋体" w:hAnsi="宋体" w:hint="eastAsia"/>
          <w:color w:val="000000"/>
          <w:sz w:val="24"/>
        </w:rPr>
        <w:t>、铜奖、优秀奖等奖项。</w:t>
      </w:r>
    </w:p>
    <w:p w:rsidR="00824862" w:rsidRDefault="00824862" w:rsidP="00824862">
      <w:pPr>
        <w:snapToGrid w:val="0"/>
        <w:spacing w:line="300" w:lineRule="auto"/>
        <w:ind w:firstLineChars="200" w:firstLine="480"/>
        <w:rPr>
          <w:rFonts w:ascii="宋体" w:hAnsi="宋体"/>
          <w:color w:val="000000"/>
          <w:sz w:val="24"/>
        </w:rPr>
      </w:pPr>
      <w:r>
        <w:rPr>
          <w:rFonts w:ascii="宋体" w:hAnsi="宋体" w:hint="eastAsia"/>
          <w:color w:val="000000"/>
          <w:sz w:val="24"/>
        </w:rPr>
        <w:t>3、评选中国最佳警察公共关系案例特别奖项。包括公安厅、局的“组织奖”以及“最佳创意奖”、“最佳公益奖”、“最佳文案奖”和“创新奖”等单项特别奖。</w:t>
      </w:r>
    </w:p>
    <w:p w:rsidR="00824862" w:rsidRDefault="00824862" w:rsidP="00824862">
      <w:pPr>
        <w:snapToGrid w:val="0"/>
        <w:spacing w:line="300" w:lineRule="auto"/>
        <w:ind w:firstLineChars="200" w:firstLine="480"/>
        <w:rPr>
          <w:sz w:val="24"/>
        </w:rPr>
      </w:pPr>
      <w:r>
        <w:rPr>
          <w:rFonts w:hint="eastAsia"/>
          <w:sz w:val="24"/>
        </w:rPr>
        <w:t>4</w:t>
      </w:r>
      <w:r>
        <w:rPr>
          <w:rFonts w:hint="eastAsia"/>
          <w:sz w:val="24"/>
        </w:rPr>
        <w:t>、评选多年（</w:t>
      </w:r>
      <w:r>
        <w:rPr>
          <w:rFonts w:hint="eastAsia"/>
          <w:sz w:val="24"/>
        </w:rPr>
        <w:t>5</w:t>
      </w:r>
      <w:r>
        <w:rPr>
          <w:rFonts w:hint="eastAsia"/>
          <w:sz w:val="24"/>
        </w:rPr>
        <w:t>年以上）带团队获得省部级以及更高奖励的警察公共关系案例后面的警察公共关系杰出人才。</w:t>
      </w:r>
    </w:p>
    <w:p w:rsidR="00824862" w:rsidRDefault="00824862" w:rsidP="00824862">
      <w:pPr>
        <w:snapToGrid w:val="0"/>
        <w:spacing w:before="100" w:beforeAutospacing="1" w:line="300" w:lineRule="auto"/>
        <w:ind w:firstLineChars="200" w:firstLine="482"/>
        <w:rPr>
          <w:rFonts w:ascii="宋体" w:hAnsi="宋体"/>
          <w:b/>
          <w:sz w:val="24"/>
        </w:rPr>
      </w:pPr>
      <w:r>
        <w:rPr>
          <w:rFonts w:ascii="宋体" w:hAnsi="宋体" w:hint="eastAsia"/>
          <w:b/>
          <w:sz w:val="24"/>
        </w:rPr>
        <w:t>四、评审材料的具体要求：</w:t>
      </w:r>
    </w:p>
    <w:p w:rsidR="00824862" w:rsidRDefault="00824862" w:rsidP="00824862">
      <w:pPr>
        <w:snapToGrid w:val="0"/>
        <w:spacing w:line="300" w:lineRule="auto"/>
        <w:ind w:firstLineChars="200" w:firstLine="480"/>
        <w:rPr>
          <w:rFonts w:ascii="宋体"/>
          <w:sz w:val="24"/>
        </w:rPr>
      </w:pPr>
      <w:r>
        <w:rPr>
          <w:rFonts w:ascii="宋体" w:hint="eastAsia"/>
          <w:sz w:val="24"/>
        </w:rPr>
        <w:t>1．参评案例须为近三年实施的公关项目（至少有部分在这时间内）。</w:t>
      </w:r>
    </w:p>
    <w:p w:rsidR="00824862" w:rsidRDefault="00824862" w:rsidP="00824862">
      <w:pPr>
        <w:snapToGrid w:val="0"/>
        <w:spacing w:line="300" w:lineRule="auto"/>
        <w:ind w:firstLineChars="200" w:firstLine="480"/>
        <w:rPr>
          <w:rFonts w:ascii="宋体"/>
          <w:sz w:val="24"/>
        </w:rPr>
      </w:pPr>
      <w:r>
        <w:rPr>
          <w:rFonts w:ascii="宋体" w:hint="eastAsia"/>
          <w:sz w:val="24"/>
        </w:rPr>
        <w:t>2．报告内容须真实可信，虚假信息文责自负；大赛有实地调查和信息公开机制，一经发现有任何虚假成份即取消参评资格。</w:t>
      </w:r>
    </w:p>
    <w:p w:rsidR="00824862" w:rsidRDefault="00824862" w:rsidP="00824862">
      <w:pPr>
        <w:snapToGrid w:val="0"/>
        <w:spacing w:line="300" w:lineRule="auto"/>
        <w:ind w:firstLineChars="200" w:firstLine="480"/>
        <w:rPr>
          <w:rFonts w:ascii="宋体"/>
          <w:sz w:val="24"/>
        </w:rPr>
      </w:pPr>
      <w:r>
        <w:rPr>
          <w:rFonts w:ascii="宋体" w:hint="eastAsia"/>
          <w:sz w:val="24"/>
        </w:rPr>
        <w:t>3．参评案例由各地公安机关为</w:t>
      </w:r>
      <w:r>
        <w:rPr>
          <w:rFonts w:ascii="宋体" w:hint="eastAsia"/>
          <w:sz w:val="24"/>
          <w:u w:val="single"/>
        </w:rPr>
        <w:t>参评主体</w:t>
      </w:r>
      <w:r>
        <w:rPr>
          <w:rFonts w:ascii="宋体" w:hint="eastAsia"/>
          <w:sz w:val="24"/>
        </w:rPr>
        <w:t>，由当地公安机关在申报材料上加盖公章确认。</w:t>
      </w:r>
    </w:p>
    <w:p w:rsidR="00824862" w:rsidRDefault="00824862" w:rsidP="00824862">
      <w:pPr>
        <w:snapToGrid w:val="0"/>
        <w:spacing w:line="300" w:lineRule="auto"/>
        <w:ind w:firstLineChars="200" w:firstLine="480"/>
        <w:rPr>
          <w:rFonts w:ascii="宋体"/>
          <w:sz w:val="24"/>
        </w:rPr>
      </w:pPr>
      <w:r>
        <w:rPr>
          <w:rFonts w:ascii="宋体" w:hint="eastAsia"/>
          <w:sz w:val="24"/>
        </w:rPr>
        <w:t>4．申报材料包括项目简述（注明分类）、项目报告及其附件材料（详见下列</w:t>
      </w:r>
      <w:r>
        <w:rPr>
          <w:rFonts w:ascii="宋体" w:hint="eastAsia"/>
          <w:sz w:val="24"/>
        </w:rPr>
        <w:lastRenderedPageBreak/>
        <w:t xml:space="preserve">要求）： </w:t>
      </w:r>
    </w:p>
    <w:p w:rsidR="00824862" w:rsidRDefault="00824862" w:rsidP="00824862">
      <w:pPr>
        <w:snapToGrid w:val="0"/>
        <w:spacing w:line="300" w:lineRule="auto"/>
        <w:ind w:left="600"/>
        <w:rPr>
          <w:rFonts w:ascii="宋体" w:hAnsi="宋体"/>
          <w:b/>
          <w:bCs/>
          <w:sz w:val="24"/>
        </w:rPr>
      </w:pPr>
      <w:r>
        <w:rPr>
          <w:rFonts w:ascii="宋体" w:hAnsi="宋体" w:hint="eastAsia"/>
          <w:b/>
          <w:bCs/>
          <w:sz w:val="24"/>
        </w:rPr>
        <w:t>项目报告书：</w:t>
      </w:r>
    </w:p>
    <w:p w:rsidR="00824862" w:rsidRDefault="00824862" w:rsidP="00824862">
      <w:pPr>
        <w:numPr>
          <w:ilvl w:val="0"/>
          <w:numId w:val="1"/>
        </w:numPr>
        <w:snapToGrid w:val="0"/>
        <w:spacing w:line="300" w:lineRule="auto"/>
        <w:ind w:left="840"/>
        <w:rPr>
          <w:rFonts w:ascii="宋体" w:hAnsi="宋体"/>
          <w:sz w:val="24"/>
        </w:rPr>
      </w:pPr>
      <w:r>
        <w:rPr>
          <w:rFonts w:ascii="宋体" w:hAnsi="宋体" w:hint="eastAsia"/>
          <w:sz w:val="24"/>
        </w:rPr>
        <w:t>封  面：注明参评案例名称（分类）、送报单位、送报日期</w:t>
      </w:r>
    </w:p>
    <w:p w:rsidR="00824862" w:rsidRDefault="00824862" w:rsidP="00824862">
      <w:pPr>
        <w:numPr>
          <w:ilvl w:val="0"/>
          <w:numId w:val="1"/>
        </w:numPr>
        <w:snapToGrid w:val="0"/>
        <w:spacing w:line="300" w:lineRule="auto"/>
        <w:ind w:left="840"/>
        <w:rPr>
          <w:rFonts w:ascii="宋体" w:hAnsi="宋体"/>
          <w:sz w:val="24"/>
        </w:rPr>
      </w:pPr>
      <w:r>
        <w:rPr>
          <w:rFonts w:ascii="宋体" w:hAnsi="宋体" w:hint="eastAsia"/>
          <w:sz w:val="24"/>
        </w:rPr>
        <w:t>第二页：附参评表格</w:t>
      </w:r>
    </w:p>
    <w:p w:rsidR="00824862" w:rsidRDefault="00824862" w:rsidP="00824862">
      <w:pPr>
        <w:numPr>
          <w:ilvl w:val="0"/>
          <w:numId w:val="1"/>
        </w:numPr>
        <w:snapToGrid w:val="0"/>
        <w:spacing w:line="300" w:lineRule="auto"/>
        <w:ind w:left="840"/>
        <w:rPr>
          <w:rFonts w:ascii="宋体" w:hAnsi="宋体"/>
          <w:sz w:val="24"/>
        </w:rPr>
      </w:pPr>
      <w:r>
        <w:rPr>
          <w:rFonts w:ascii="宋体" w:hAnsi="宋体" w:hint="eastAsia"/>
          <w:sz w:val="24"/>
        </w:rPr>
        <w:t>第三页：文件目录</w:t>
      </w:r>
    </w:p>
    <w:p w:rsidR="00824862" w:rsidRDefault="00824862" w:rsidP="00824862">
      <w:pPr>
        <w:numPr>
          <w:ilvl w:val="0"/>
          <w:numId w:val="1"/>
        </w:numPr>
        <w:snapToGrid w:val="0"/>
        <w:spacing w:line="300" w:lineRule="auto"/>
        <w:ind w:left="840"/>
        <w:rPr>
          <w:rFonts w:ascii="宋体" w:hAnsi="宋体"/>
          <w:sz w:val="24"/>
        </w:rPr>
      </w:pPr>
      <w:r>
        <w:rPr>
          <w:rFonts w:ascii="宋体" w:hAnsi="宋体" w:hint="eastAsia"/>
          <w:sz w:val="24"/>
        </w:rPr>
        <w:t>项目简述：（1000字左右，简介项目需求、策划、执行和评估等主要内容）</w:t>
      </w:r>
    </w:p>
    <w:p w:rsidR="00824862" w:rsidRDefault="00824862" w:rsidP="00824862">
      <w:pPr>
        <w:numPr>
          <w:ilvl w:val="0"/>
          <w:numId w:val="1"/>
        </w:numPr>
        <w:snapToGrid w:val="0"/>
        <w:spacing w:line="300" w:lineRule="auto"/>
        <w:ind w:left="840"/>
        <w:rPr>
          <w:rFonts w:ascii="宋体" w:hAnsi="宋体"/>
          <w:sz w:val="24"/>
        </w:rPr>
      </w:pPr>
      <w:r>
        <w:rPr>
          <w:rFonts w:ascii="宋体" w:hAnsi="宋体" w:hint="eastAsia"/>
          <w:sz w:val="24"/>
        </w:rPr>
        <w:t>主体报告：（5000-6000字，包括项目目录、背景、条件、目标、项目可行性研究、项目总策划、项目执行、项目效果等）</w:t>
      </w:r>
    </w:p>
    <w:p w:rsidR="00824862" w:rsidRDefault="00824862" w:rsidP="00824862">
      <w:pPr>
        <w:snapToGrid w:val="0"/>
        <w:spacing w:line="300" w:lineRule="auto"/>
        <w:ind w:firstLineChars="248" w:firstLine="598"/>
        <w:rPr>
          <w:rFonts w:ascii="宋体" w:hAnsi="宋体"/>
          <w:b/>
          <w:bCs/>
          <w:sz w:val="24"/>
        </w:rPr>
      </w:pPr>
      <w:r>
        <w:rPr>
          <w:rFonts w:ascii="宋体" w:hAnsi="宋体" w:hint="eastAsia"/>
          <w:b/>
          <w:bCs/>
          <w:sz w:val="24"/>
        </w:rPr>
        <w:t>材料制作：格式均为A4规格，4号宋体，报告正文、附件材料需提供电子文件。</w:t>
      </w:r>
    </w:p>
    <w:p w:rsidR="00824862" w:rsidRDefault="00824862" w:rsidP="00824862">
      <w:pPr>
        <w:snapToGrid w:val="0"/>
        <w:spacing w:before="100" w:beforeAutospacing="1" w:line="300" w:lineRule="auto"/>
        <w:ind w:firstLineChars="200" w:firstLine="482"/>
        <w:rPr>
          <w:rFonts w:ascii="宋体" w:hAnsi="宋体"/>
          <w:b/>
          <w:sz w:val="24"/>
        </w:rPr>
      </w:pPr>
      <w:r>
        <w:rPr>
          <w:rFonts w:ascii="宋体" w:hAnsi="宋体" w:hint="eastAsia"/>
          <w:b/>
          <w:sz w:val="24"/>
        </w:rPr>
        <w:t xml:space="preserve"> 五、征文须知</w:t>
      </w:r>
    </w:p>
    <w:p w:rsidR="00824862" w:rsidRDefault="00824862" w:rsidP="00824862">
      <w:pPr>
        <w:numPr>
          <w:ilvl w:val="0"/>
          <w:numId w:val="2"/>
        </w:numPr>
        <w:tabs>
          <w:tab w:val="left" w:pos="840"/>
        </w:tabs>
        <w:snapToGrid w:val="0"/>
        <w:spacing w:line="300" w:lineRule="auto"/>
        <w:rPr>
          <w:rFonts w:ascii="宋体"/>
          <w:sz w:val="24"/>
        </w:rPr>
      </w:pPr>
      <w:r>
        <w:rPr>
          <w:rFonts w:ascii="宋体" w:hint="eastAsia"/>
          <w:sz w:val="24"/>
        </w:rPr>
        <w:t>材料报送时间</w:t>
      </w:r>
    </w:p>
    <w:p w:rsidR="00824862" w:rsidRDefault="00824862" w:rsidP="00824862">
      <w:pPr>
        <w:snapToGrid w:val="0"/>
        <w:spacing w:line="300" w:lineRule="auto"/>
        <w:ind w:firstLineChars="200" w:firstLine="480"/>
        <w:rPr>
          <w:rFonts w:ascii="宋体"/>
          <w:sz w:val="24"/>
        </w:rPr>
      </w:pPr>
      <w:r>
        <w:rPr>
          <w:rFonts w:ascii="宋体" w:hint="eastAsia"/>
          <w:bCs/>
          <w:sz w:val="24"/>
        </w:rPr>
        <w:t>案例征集截止日期为201</w:t>
      </w:r>
      <w:r>
        <w:rPr>
          <w:rFonts w:ascii="宋体"/>
          <w:bCs/>
          <w:sz w:val="24"/>
        </w:rPr>
        <w:t>8</w:t>
      </w:r>
      <w:r>
        <w:rPr>
          <w:rFonts w:ascii="宋体" w:hint="eastAsia"/>
          <w:bCs/>
          <w:sz w:val="24"/>
        </w:rPr>
        <w:t>年11月3</w:t>
      </w:r>
      <w:r>
        <w:rPr>
          <w:rFonts w:ascii="宋体"/>
          <w:bCs/>
          <w:sz w:val="24"/>
        </w:rPr>
        <w:t>0</w:t>
      </w:r>
      <w:r>
        <w:rPr>
          <w:rFonts w:ascii="宋体" w:hint="eastAsia"/>
          <w:bCs/>
          <w:sz w:val="24"/>
        </w:rPr>
        <w:t>日前。</w:t>
      </w:r>
      <w:r>
        <w:rPr>
          <w:rFonts w:ascii="宋体" w:hint="eastAsia"/>
          <w:sz w:val="24"/>
        </w:rPr>
        <w:t>务必将电子文件（参评表格、项目简述和项目报告等）发送至组委会电邮：cnppr@126.com，并将文字材料及参评表格寄送至：</w:t>
      </w:r>
      <w:r>
        <w:rPr>
          <w:rFonts w:ascii="宋体" w:hint="eastAsia"/>
          <w:b/>
          <w:sz w:val="24"/>
        </w:rPr>
        <w:t>北京市海淀区北三环西路66号北京理工大学国际教育交流大厦7层中国国际公共关系</w:t>
      </w:r>
      <w:r>
        <w:rPr>
          <w:rFonts w:ascii="宋体"/>
          <w:b/>
          <w:sz w:val="24"/>
        </w:rPr>
        <w:t>协会</w:t>
      </w:r>
      <w:r>
        <w:rPr>
          <w:rFonts w:ascii="宋体" w:hint="eastAsia"/>
          <w:b/>
          <w:sz w:val="24"/>
        </w:rPr>
        <w:t>警察公共关系专业委员会 于潇老师收（100081）</w:t>
      </w:r>
      <w:r>
        <w:rPr>
          <w:rFonts w:ascii="宋体" w:hint="eastAsia"/>
          <w:sz w:val="24"/>
        </w:rPr>
        <w:t>,在信封上注明“警察公共关系案例评选”。</w:t>
      </w:r>
    </w:p>
    <w:p w:rsidR="00824862" w:rsidRDefault="00824862" w:rsidP="00824862">
      <w:pPr>
        <w:numPr>
          <w:ilvl w:val="0"/>
          <w:numId w:val="2"/>
        </w:numPr>
        <w:tabs>
          <w:tab w:val="left" w:pos="840"/>
        </w:tabs>
        <w:snapToGrid w:val="0"/>
        <w:spacing w:line="300" w:lineRule="auto"/>
        <w:rPr>
          <w:rFonts w:ascii="宋体"/>
          <w:sz w:val="24"/>
        </w:rPr>
      </w:pPr>
      <w:r>
        <w:rPr>
          <w:rFonts w:ascii="宋体" w:hint="eastAsia"/>
          <w:sz w:val="24"/>
        </w:rPr>
        <w:t>参评费用：本届案例送评不交费。</w:t>
      </w:r>
    </w:p>
    <w:p w:rsidR="00824862" w:rsidRDefault="00824862" w:rsidP="00824862">
      <w:pPr>
        <w:numPr>
          <w:ilvl w:val="0"/>
          <w:numId w:val="2"/>
        </w:numPr>
        <w:tabs>
          <w:tab w:val="left" w:pos="840"/>
        </w:tabs>
        <w:snapToGrid w:val="0"/>
        <w:spacing w:line="300" w:lineRule="auto"/>
        <w:rPr>
          <w:rFonts w:ascii="宋体"/>
          <w:sz w:val="24"/>
        </w:rPr>
      </w:pPr>
      <w:r>
        <w:rPr>
          <w:rFonts w:ascii="宋体" w:hint="eastAsia"/>
          <w:sz w:val="24"/>
        </w:rPr>
        <w:t>所有参评资料恕不退还，主办机构享有出版等使用权。</w:t>
      </w:r>
    </w:p>
    <w:p w:rsidR="00824862" w:rsidRDefault="00824862" w:rsidP="00824862">
      <w:pPr>
        <w:snapToGrid w:val="0"/>
        <w:spacing w:line="300" w:lineRule="auto"/>
        <w:ind w:leftChars="43" w:left="90" w:firstLineChars="162" w:firstLine="389"/>
        <w:rPr>
          <w:rFonts w:ascii="宋体"/>
          <w:sz w:val="24"/>
        </w:rPr>
      </w:pPr>
      <w:r>
        <w:rPr>
          <w:rFonts w:ascii="宋体" w:hint="eastAsia"/>
          <w:sz w:val="24"/>
        </w:rPr>
        <w:t xml:space="preserve">有关“警察公共关系案例”评选的进展情况，见中国国际公共关系协会官网（http://www.cipra.org.cn  ）和公安内网警察公共关系专业委员会海淀工作站(www.hdq.bj/index/index.html )。 如有疑问，请与我们联系。 </w:t>
      </w:r>
    </w:p>
    <w:p w:rsidR="00824862" w:rsidRDefault="00824862" w:rsidP="00824862">
      <w:pPr>
        <w:pStyle w:val="a3"/>
        <w:snapToGrid w:val="0"/>
        <w:spacing w:before="0" w:beforeAutospacing="0" w:after="0" w:afterAutospacing="0" w:line="300" w:lineRule="auto"/>
        <w:ind w:firstLineChars="150" w:firstLine="361"/>
        <w:rPr>
          <w:b/>
        </w:rPr>
      </w:pPr>
      <w:r>
        <w:rPr>
          <w:rFonts w:hint="eastAsia"/>
          <w:b/>
        </w:rPr>
        <w:t>联系方式：</w:t>
      </w:r>
    </w:p>
    <w:p w:rsidR="00824862" w:rsidRDefault="00824862" w:rsidP="00824862">
      <w:pPr>
        <w:snapToGrid w:val="0"/>
        <w:spacing w:line="300" w:lineRule="auto"/>
        <w:ind w:firstLineChars="150" w:firstLine="360"/>
        <w:rPr>
          <w:rFonts w:ascii="ˎ̥" w:hAnsi="ˎ̥"/>
          <w:sz w:val="24"/>
        </w:rPr>
      </w:pPr>
      <w:r>
        <w:rPr>
          <w:rFonts w:ascii="ˎ̥" w:hAnsi="ˎ̥" w:hint="eastAsia"/>
          <w:sz w:val="24"/>
        </w:rPr>
        <w:t>通信地址：北京市海淀区北三环西路</w:t>
      </w:r>
      <w:r>
        <w:rPr>
          <w:rFonts w:ascii="ˎ̥" w:hAnsi="ˎ̥" w:hint="eastAsia"/>
          <w:sz w:val="24"/>
        </w:rPr>
        <w:t>66</w:t>
      </w:r>
      <w:r>
        <w:rPr>
          <w:rFonts w:ascii="ˎ̥" w:hAnsi="ˎ̥" w:hint="eastAsia"/>
          <w:sz w:val="24"/>
        </w:rPr>
        <w:t>号北京理工大学国际教育交流大厦</w:t>
      </w:r>
      <w:r>
        <w:rPr>
          <w:rFonts w:ascii="ˎ̥" w:hAnsi="ˎ̥" w:hint="eastAsia"/>
          <w:sz w:val="24"/>
        </w:rPr>
        <w:t>7</w:t>
      </w:r>
      <w:r>
        <w:rPr>
          <w:rFonts w:ascii="ˎ̥" w:hAnsi="ˎ̥" w:hint="eastAsia"/>
          <w:sz w:val="24"/>
        </w:rPr>
        <w:t>层中国国际公共关系</w:t>
      </w:r>
      <w:r>
        <w:rPr>
          <w:rFonts w:ascii="ˎ̥" w:hAnsi="ˎ̥"/>
          <w:sz w:val="24"/>
        </w:rPr>
        <w:t>协会</w:t>
      </w:r>
      <w:r>
        <w:rPr>
          <w:rFonts w:ascii="ˎ̥" w:hAnsi="ˎ̥" w:hint="eastAsia"/>
          <w:sz w:val="24"/>
        </w:rPr>
        <w:t>警察公共关系专业委员会于潇老师</w:t>
      </w:r>
      <w:r>
        <w:rPr>
          <w:rFonts w:ascii="ˎ̥" w:hAnsi="ˎ̥"/>
          <w:sz w:val="24"/>
        </w:rPr>
        <w:t>收</w:t>
      </w:r>
    </w:p>
    <w:p w:rsidR="00824862" w:rsidRDefault="00824862" w:rsidP="00824862">
      <w:pPr>
        <w:snapToGrid w:val="0"/>
        <w:spacing w:line="300" w:lineRule="auto"/>
        <w:ind w:firstLineChars="150" w:firstLine="360"/>
        <w:rPr>
          <w:rFonts w:ascii="ˎ̥" w:hAnsi="ˎ̥"/>
          <w:sz w:val="24"/>
        </w:rPr>
      </w:pPr>
    </w:p>
    <w:p w:rsidR="00824862" w:rsidRDefault="00824862" w:rsidP="00824862">
      <w:pPr>
        <w:snapToGrid w:val="0"/>
        <w:spacing w:line="300" w:lineRule="auto"/>
        <w:ind w:firstLineChars="150" w:firstLine="360"/>
        <w:rPr>
          <w:rFonts w:ascii="ˎ̥" w:hAnsi="ˎ̥"/>
          <w:sz w:val="24"/>
        </w:rPr>
      </w:pPr>
      <w:r>
        <w:rPr>
          <w:rFonts w:ascii="ˎ̥" w:hAnsi="ˎ̥" w:hint="eastAsia"/>
          <w:sz w:val="24"/>
        </w:rPr>
        <w:t>邮编：</w:t>
      </w:r>
      <w:r>
        <w:rPr>
          <w:rFonts w:ascii="ˎ̥" w:hAnsi="ˎ̥" w:hint="eastAsia"/>
          <w:sz w:val="24"/>
        </w:rPr>
        <w:t>1000</w:t>
      </w:r>
      <w:r>
        <w:rPr>
          <w:rFonts w:ascii="ˎ̥" w:hAnsi="ˎ̥"/>
          <w:sz w:val="24"/>
        </w:rPr>
        <w:t>81</w:t>
      </w:r>
      <w:r w:rsidRPr="00B40A48">
        <w:rPr>
          <w:rFonts w:ascii="ˎ̥" w:hAnsi="ˎ̥" w:hint="eastAsia"/>
          <w:sz w:val="24"/>
        </w:rPr>
        <w:t>电邮：</w:t>
      </w:r>
      <w:r w:rsidRPr="00B40A48">
        <w:rPr>
          <w:rFonts w:ascii="ˎ̥" w:hAnsi="ˎ̥" w:hint="eastAsia"/>
          <w:sz w:val="24"/>
        </w:rPr>
        <w:t>cnppr@126.com</w:t>
      </w:r>
    </w:p>
    <w:p w:rsidR="00824862" w:rsidRDefault="00824862" w:rsidP="00824862">
      <w:pPr>
        <w:snapToGrid w:val="0"/>
        <w:spacing w:line="300" w:lineRule="auto"/>
        <w:ind w:firstLineChars="900" w:firstLine="2160"/>
        <w:rPr>
          <w:rFonts w:ascii="ˎ̥" w:hAnsi="ˎ̥"/>
          <w:sz w:val="24"/>
        </w:rPr>
      </w:pPr>
      <w:r>
        <w:rPr>
          <w:rFonts w:ascii="ˎ̥" w:hAnsi="ˎ̥"/>
          <w:noProof/>
          <w:sz w:val="24"/>
        </w:rPr>
        <w:drawing>
          <wp:inline distT="0" distB="0" distL="0" distR="0">
            <wp:extent cx="1088397" cy="1409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群二维码.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3745" cy="1416627"/>
                    </a:xfrm>
                    <a:prstGeom prst="rect">
                      <a:avLst/>
                    </a:prstGeom>
                  </pic:spPr>
                </pic:pic>
              </a:graphicData>
            </a:graphic>
          </wp:inline>
        </w:drawing>
      </w:r>
      <w:r>
        <w:rPr>
          <w:rFonts w:ascii="ˎ̥" w:hAnsi="ˎ̥" w:hint="eastAsia"/>
          <w:sz w:val="24"/>
        </w:rPr>
        <w:t>（扫码</w:t>
      </w:r>
      <w:r>
        <w:rPr>
          <w:rFonts w:ascii="ˎ̥" w:hAnsi="ˎ̥"/>
          <w:sz w:val="24"/>
        </w:rPr>
        <w:t>入群</w:t>
      </w:r>
      <w:r>
        <w:rPr>
          <w:rFonts w:ascii="ˎ̥" w:hAnsi="ˎ̥" w:hint="eastAsia"/>
          <w:sz w:val="24"/>
        </w:rPr>
        <w:t>）</w:t>
      </w:r>
    </w:p>
    <w:p w:rsidR="00824862" w:rsidRDefault="00824862" w:rsidP="00824862">
      <w:pPr>
        <w:snapToGrid w:val="0"/>
        <w:spacing w:line="300" w:lineRule="auto"/>
        <w:ind w:firstLineChars="200" w:firstLine="640"/>
        <w:rPr>
          <w:rFonts w:ascii="楷体_GB2312" w:eastAsia="楷体_GB2312" w:hAnsi="微软雅黑"/>
          <w:sz w:val="32"/>
          <w:szCs w:val="32"/>
        </w:rPr>
      </w:pPr>
    </w:p>
    <w:p w:rsidR="00824862" w:rsidRDefault="00824862" w:rsidP="00824862">
      <w:pPr>
        <w:snapToGrid w:val="0"/>
        <w:spacing w:line="300" w:lineRule="auto"/>
        <w:ind w:firstLineChars="200" w:firstLine="640"/>
        <w:rPr>
          <w:rFonts w:ascii="楷体_GB2312" w:eastAsia="楷体_GB2312" w:hAnsi="微软雅黑"/>
          <w:sz w:val="32"/>
          <w:szCs w:val="32"/>
        </w:rPr>
      </w:pPr>
      <w:r>
        <w:rPr>
          <w:rFonts w:ascii="楷体_GB2312" w:eastAsia="楷体_GB2312" w:hAnsi="微软雅黑" w:hint="eastAsia"/>
          <w:sz w:val="32"/>
          <w:szCs w:val="32"/>
        </w:rPr>
        <w:lastRenderedPageBreak/>
        <w:t>“第四届中国最佳警察公共关系案例研讨会”表格</w:t>
      </w:r>
    </w:p>
    <w:tbl>
      <w:tblPr>
        <w:tblpPr w:leftFromText="180" w:rightFromText="180" w:vertAnchor="text" w:horzAnchor="margin" w:tblpY="12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986"/>
        <w:gridCol w:w="3362"/>
        <w:gridCol w:w="1080"/>
        <w:gridCol w:w="3240"/>
      </w:tblGrid>
      <w:tr w:rsidR="00824862" w:rsidTr="00635BEC">
        <w:trPr>
          <w:trHeight w:val="1351"/>
        </w:trPr>
        <w:tc>
          <w:tcPr>
            <w:tcW w:w="986" w:type="dxa"/>
            <w:vAlign w:val="center"/>
          </w:tcPr>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项目</w:t>
            </w:r>
          </w:p>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名称</w:t>
            </w:r>
          </w:p>
        </w:tc>
        <w:tc>
          <w:tcPr>
            <w:tcW w:w="7682" w:type="dxa"/>
            <w:gridSpan w:val="3"/>
            <w:vAlign w:val="center"/>
          </w:tcPr>
          <w:p w:rsidR="00824862" w:rsidRDefault="00824862" w:rsidP="00635BEC">
            <w:pPr>
              <w:jc w:val="center"/>
              <w:rPr>
                <w:rFonts w:ascii="微软雅黑" w:eastAsia="微软雅黑" w:hAnsi="微软雅黑"/>
                <w:b/>
                <w:sz w:val="24"/>
              </w:rPr>
            </w:pPr>
          </w:p>
        </w:tc>
      </w:tr>
      <w:tr w:rsidR="00824862" w:rsidTr="00635BEC">
        <w:trPr>
          <w:trHeight w:val="1351"/>
        </w:trPr>
        <w:tc>
          <w:tcPr>
            <w:tcW w:w="986" w:type="dxa"/>
            <w:vAlign w:val="center"/>
          </w:tcPr>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申报</w:t>
            </w:r>
          </w:p>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单位</w:t>
            </w:r>
          </w:p>
        </w:tc>
        <w:tc>
          <w:tcPr>
            <w:tcW w:w="7682" w:type="dxa"/>
            <w:gridSpan w:val="3"/>
            <w:vAlign w:val="center"/>
          </w:tcPr>
          <w:p w:rsidR="00824862" w:rsidRDefault="00824862" w:rsidP="00635BEC">
            <w:pPr>
              <w:jc w:val="center"/>
              <w:rPr>
                <w:rFonts w:ascii="微软雅黑" w:eastAsia="微软雅黑" w:hAnsi="微软雅黑"/>
                <w:b/>
                <w:sz w:val="24"/>
              </w:rPr>
            </w:pPr>
          </w:p>
        </w:tc>
      </w:tr>
      <w:tr w:rsidR="00824862" w:rsidTr="00635BEC">
        <w:trPr>
          <w:trHeight w:val="1351"/>
        </w:trPr>
        <w:tc>
          <w:tcPr>
            <w:tcW w:w="986" w:type="dxa"/>
            <w:vAlign w:val="center"/>
          </w:tcPr>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联系人</w:t>
            </w:r>
          </w:p>
        </w:tc>
        <w:tc>
          <w:tcPr>
            <w:tcW w:w="3362" w:type="dxa"/>
            <w:vAlign w:val="center"/>
          </w:tcPr>
          <w:p w:rsidR="00824862" w:rsidRDefault="00824862" w:rsidP="00635BEC">
            <w:pPr>
              <w:jc w:val="center"/>
              <w:rPr>
                <w:rFonts w:ascii="微软雅黑" w:eastAsia="微软雅黑" w:hAnsi="微软雅黑"/>
                <w:b/>
                <w:sz w:val="24"/>
              </w:rPr>
            </w:pPr>
          </w:p>
        </w:tc>
        <w:tc>
          <w:tcPr>
            <w:tcW w:w="1080" w:type="dxa"/>
            <w:vAlign w:val="center"/>
          </w:tcPr>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邮政</w:t>
            </w:r>
          </w:p>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编码</w:t>
            </w:r>
          </w:p>
        </w:tc>
        <w:tc>
          <w:tcPr>
            <w:tcW w:w="3240" w:type="dxa"/>
          </w:tcPr>
          <w:p w:rsidR="00824862" w:rsidRDefault="00824862" w:rsidP="00635BEC">
            <w:pPr>
              <w:rPr>
                <w:rFonts w:ascii="微软雅黑" w:eastAsia="微软雅黑" w:hAnsi="微软雅黑"/>
                <w:sz w:val="24"/>
              </w:rPr>
            </w:pPr>
          </w:p>
        </w:tc>
      </w:tr>
      <w:tr w:rsidR="00824862" w:rsidTr="00635BEC">
        <w:trPr>
          <w:trHeight w:val="668"/>
        </w:trPr>
        <w:tc>
          <w:tcPr>
            <w:tcW w:w="986" w:type="dxa"/>
            <w:vMerge w:val="restart"/>
            <w:vAlign w:val="center"/>
          </w:tcPr>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联系</w:t>
            </w:r>
          </w:p>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地址</w:t>
            </w:r>
          </w:p>
        </w:tc>
        <w:tc>
          <w:tcPr>
            <w:tcW w:w="3362" w:type="dxa"/>
            <w:vMerge w:val="restart"/>
            <w:vAlign w:val="center"/>
          </w:tcPr>
          <w:p w:rsidR="00824862" w:rsidRDefault="00824862" w:rsidP="00635BEC">
            <w:pPr>
              <w:jc w:val="center"/>
              <w:rPr>
                <w:rFonts w:ascii="微软雅黑" w:eastAsia="微软雅黑" w:hAnsi="微软雅黑"/>
                <w:b/>
                <w:sz w:val="24"/>
              </w:rPr>
            </w:pPr>
          </w:p>
        </w:tc>
        <w:tc>
          <w:tcPr>
            <w:tcW w:w="1080" w:type="dxa"/>
            <w:vAlign w:val="center"/>
          </w:tcPr>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电邮</w:t>
            </w:r>
          </w:p>
        </w:tc>
        <w:tc>
          <w:tcPr>
            <w:tcW w:w="3240" w:type="dxa"/>
            <w:vAlign w:val="center"/>
          </w:tcPr>
          <w:p w:rsidR="00824862" w:rsidRDefault="00824862" w:rsidP="00635BEC">
            <w:pPr>
              <w:rPr>
                <w:rFonts w:ascii="微软雅黑" w:eastAsia="微软雅黑" w:hAnsi="微软雅黑"/>
                <w:sz w:val="24"/>
              </w:rPr>
            </w:pPr>
          </w:p>
        </w:tc>
      </w:tr>
      <w:tr w:rsidR="00824862" w:rsidTr="00635BEC">
        <w:trPr>
          <w:trHeight w:val="668"/>
        </w:trPr>
        <w:tc>
          <w:tcPr>
            <w:tcW w:w="986" w:type="dxa"/>
            <w:vMerge/>
            <w:vAlign w:val="center"/>
          </w:tcPr>
          <w:p w:rsidR="00824862" w:rsidRDefault="00824862" w:rsidP="00635BEC"/>
        </w:tc>
        <w:tc>
          <w:tcPr>
            <w:tcW w:w="3362" w:type="dxa"/>
            <w:vMerge/>
            <w:vAlign w:val="center"/>
          </w:tcPr>
          <w:p w:rsidR="00824862" w:rsidRDefault="00824862" w:rsidP="00635BEC"/>
        </w:tc>
        <w:tc>
          <w:tcPr>
            <w:tcW w:w="1080" w:type="dxa"/>
            <w:vAlign w:val="center"/>
          </w:tcPr>
          <w:p w:rsidR="00824862" w:rsidRDefault="00824862" w:rsidP="00635BEC">
            <w:pPr>
              <w:jc w:val="center"/>
            </w:pPr>
            <w:r>
              <w:rPr>
                <w:rFonts w:ascii="微软雅黑" w:eastAsia="微软雅黑" w:hAnsi="微软雅黑" w:hint="eastAsia"/>
                <w:b/>
                <w:sz w:val="24"/>
              </w:rPr>
              <w:t>微信</w:t>
            </w:r>
          </w:p>
        </w:tc>
        <w:tc>
          <w:tcPr>
            <w:tcW w:w="3240" w:type="dxa"/>
            <w:vAlign w:val="center"/>
          </w:tcPr>
          <w:p w:rsidR="00824862" w:rsidRDefault="00824862" w:rsidP="00635BEC">
            <w:pPr>
              <w:rPr>
                <w:rFonts w:ascii="微软雅黑" w:eastAsia="微软雅黑" w:hAnsi="微软雅黑"/>
                <w:b/>
                <w:sz w:val="24"/>
              </w:rPr>
            </w:pPr>
          </w:p>
        </w:tc>
      </w:tr>
      <w:tr w:rsidR="00824862" w:rsidTr="00635BEC">
        <w:trPr>
          <w:trHeight w:val="1351"/>
        </w:trPr>
        <w:tc>
          <w:tcPr>
            <w:tcW w:w="986" w:type="dxa"/>
            <w:vAlign w:val="center"/>
          </w:tcPr>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电话</w:t>
            </w:r>
          </w:p>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手机</w:t>
            </w:r>
          </w:p>
        </w:tc>
        <w:tc>
          <w:tcPr>
            <w:tcW w:w="3362" w:type="dxa"/>
            <w:vAlign w:val="center"/>
          </w:tcPr>
          <w:p w:rsidR="00824862" w:rsidRDefault="00824862" w:rsidP="00635BEC">
            <w:pPr>
              <w:jc w:val="center"/>
              <w:rPr>
                <w:rFonts w:ascii="微软雅黑" w:eastAsia="微软雅黑" w:hAnsi="微软雅黑"/>
                <w:b/>
                <w:sz w:val="24"/>
              </w:rPr>
            </w:pPr>
          </w:p>
        </w:tc>
        <w:tc>
          <w:tcPr>
            <w:tcW w:w="1080" w:type="dxa"/>
            <w:vAlign w:val="center"/>
          </w:tcPr>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传真</w:t>
            </w:r>
          </w:p>
        </w:tc>
        <w:tc>
          <w:tcPr>
            <w:tcW w:w="3240" w:type="dxa"/>
          </w:tcPr>
          <w:p w:rsidR="00824862" w:rsidRDefault="00824862" w:rsidP="00635BEC">
            <w:pPr>
              <w:rPr>
                <w:rFonts w:ascii="微软雅黑" w:eastAsia="微软雅黑" w:hAnsi="微软雅黑"/>
                <w:sz w:val="24"/>
              </w:rPr>
            </w:pPr>
          </w:p>
        </w:tc>
      </w:tr>
      <w:tr w:rsidR="00824862" w:rsidTr="00635BEC">
        <w:trPr>
          <w:trHeight w:val="3789"/>
        </w:trPr>
        <w:tc>
          <w:tcPr>
            <w:tcW w:w="986" w:type="dxa"/>
            <w:vAlign w:val="center"/>
          </w:tcPr>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单</w:t>
            </w:r>
          </w:p>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位</w:t>
            </w:r>
          </w:p>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意</w:t>
            </w:r>
          </w:p>
          <w:p w:rsidR="00824862" w:rsidRDefault="00824862" w:rsidP="00635BEC">
            <w:pPr>
              <w:jc w:val="center"/>
              <w:rPr>
                <w:rFonts w:ascii="微软雅黑" w:eastAsia="微软雅黑" w:hAnsi="微软雅黑"/>
                <w:b/>
                <w:sz w:val="24"/>
              </w:rPr>
            </w:pPr>
            <w:r>
              <w:rPr>
                <w:rFonts w:ascii="微软雅黑" w:eastAsia="微软雅黑" w:hAnsi="微软雅黑" w:hint="eastAsia"/>
                <w:b/>
                <w:sz w:val="24"/>
              </w:rPr>
              <w:t>见</w:t>
            </w:r>
          </w:p>
        </w:tc>
        <w:tc>
          <w:tcPr>
            <w:tcW w:w="7682" w:type="dxa"/>
            <w:gridSpan w:val="3"/>
            <w:vAlign w:val="bottom"/>
          </w:tcPr>
          <w:p w:rsidR="00824862" w:rsidRDefault="00824862" w:rsidP="00635BEC">
            <w:pPr>
              <w:ind w:firstLineChars="100" w:firstLine="240"/>
              <w:jc w:val="right"/>
              <w:rPr>
                <w:rFonts w:ascii="微软雅黑" w:eastAsia="微软雅黑" w:hAnsi="微软雅黑"/>
                <w:b/>
                <w:sz w:val="24"/>
              </w:rPr>
            </w:pPr>
          </w:p>
          <w:p w:rsidR="00824862" w:rsidRDefault="00824862" w:rsidP="00635BEC">
            <w:pPr>
              <w:wordWrap w:val="0"/>
              <w:ind w:firstLineChars="100" w:firstLine="240"/>
              <w:jc w:val="right"/>
              <w:rPr>
                <w:rFonts w:ascii="微软雅黑" w:eastAsia="微软雅黑" w:hAnsi="微软雅黑"/>
                <w:b/>
                <w:sz w:val="24"/>
              </w:rPr>
            </w:pPr>
          </w:p>
          <w:p w:rsidR="00824862" w:rsidRDefault="00824862" w:rsidP="00635BEC">
            <w:pPr>
              <w:ind w:firstLineChars="100" w:firstLine="240"/>
              <w:jc w:val="right"/>
              <w:rPr>
                <w:rFonts w:ascii="微软雅黑" w:eastAsia="微软雅黑" w:hAnsi="微软雅黑"/>
                <w:b/>
                <w:sz w:val="24"/>
              </w:rPr>
            </w:pPr>
          </w:p>
          <w:p w:rsidR="00824862" w:rsidRDefault="00824862" w:rsidP="00635BEC">
            <w:pPr>
              <w:ind w:firstLineChars="100" w:firstLine="240"/>
              <w:jc w:val="right"/>
              <w:rPr>
                <w:rFonts w:ascii="微软雅黑" w:eastAsia="微软雅黑" w:hAnsi="微软雅黑"/>
                <w:b/>
                <w:sz w:val="24"/>
              </w:rPr>
            </w:pPr>
          </w:p>
          <w:p w:rsidR="00824862" w:rsidRDefault="00824862" w:rsidP="00635BEC">
            <w:pPr>
              <w:ind w:right="472" w:firstLineChars="1953" w:firstLine="4687"/>
              <w:rPr>
                <w:rFonts w:ascii="微软雅黑" w:eastAsia="微软雅黑" w:hAnsi="微软雅黑"/>
                <w:b/>
                <w:sz w:val="24"/>
              </w:rPr>
            </w:pPr>
            <w:r>
              <w:rPr>
                <w:rFonts w:ascii="微软雅黑" w:eastAsia="微软雅黑" w:hAnsi="微软雅黑" w:hint="eastAsia"/>
                <w:b/>
                <w:sz w:val="24"/>
              </w:rPr>
              <w:t>单位公章</w:t>
            </w:r>
          </w:p>
          <w:p w:rsidR="00824862" w:rsidRDefault="00824862" w:rsidP="00635BEC">
            <w:pPr>
              <w:ind w:right="472" w:firstLineChars="1953" w:firstLine="4687"/>
              <w:rPr>
                <w:rFonts w:ascii="微软雅黑" w:eastAsia="微软雅黑" w:hAnsi="微软雅黑"/>
                <w:sz w:val="24"/>
              </w:rPr>
            </w:pPr>
          </w:p>
        </w:tc>
      </w:tr>
    </w:tbl>
    <w:p w:rsidR="00824862" w:rsidRDefault="00824862" w:rsidP="00824862">
      <w:pPr>
        <w:spacing w:line="360" w:lineRule="auto"/>
        <w:ind w:firstLineChars="200" w:firstLine="420"/>
      </w:pPr>
      <w:r>
        <w:rPr>
          <w:rFonts w:ascii="宋体" w:hint="eastAsia"/>
          <w:bCs/>
          <w:szCs w:val="21"/>
        </w:rPr>
        <w:t>案例征集截止日期为201</w:t>
      </w:r>
      <w:r>
        <w:rPr>
          <w:rFonts w:ascii="宋体"/>
          <w:bCs/>
          <w:szCs w:val="21"/>
        </w:rPr>
        <w:t>8</w:t>
      </w:r>
      <w:r>
        <w:rPr>
          <w:rFonts w:ascii="宋体" w:hint="eastAsia"/>
          <w:bCs/>
          <w:szCs w:val="21"/>
        </w:rPr>
        <w:t>年</w:t>
      </w:r>
      <w:r>
        <w:rPr>
          <w:rFonts w:ascii="宋体"/>
          <w:bCs/>
          <w:szCs w:val="21"/>
        </w:rPr>
        <w:t>1</w:t>
      </w:r>
      <w:r>
        <w:rPr>
          <w:rFonts w:ascii="宋体" w:hint="eastAsia"/>
          <w:bCs/>
          <w:szCs w:val="21"/>
        </w:rPr>
        <w:t>1月3</w:t>
      </w:r>
      <w:r>
        <w:rPr>
          <w:rFonts w:ascii="宋体"/>
          <w:bCs/>
          <w:szCs w:val="21"/>
        </w:rPr>
        <w:t>0</w:t>
      </w:r>
      <w:r>
        <w:rPr>
          <w:rFonts w:ascii="宋体" w:hint="eastAsia"/>
          <w:bCs/>
          <w:szCs w:val="21"/>
        </w:rPr>
        <w:t>日。</w:t>
      </w:r>
      <w:r>
        <w:rPr>
          <w:rFonts w:ascii="宋体" w:hint="eastAsia"/>
          <w:szCs w:val="21"/>
        </w:rPr>
        <w:t>务必将电子文件（参评表格、项目简述和项目报告等）发送至cnppr@126.com，并将文字材料及参评表格寄送至</w:t>
      </w:r>
      <w:r>
        <w:rPr>
          <w:rFonts w:ascii="宋体" w:hint="eastAsia"/>
          <w:sz w:val="24"/>
        </w:rPr>
        <w:t>：</w:t>
      </w:r>
      <w:r>
        <w:rPr>
          <w:rFonts w:ascii="宋体" w:hint="eastAsia"/>
          <w:b/>
          <w:szCs w:val="21"/>
        </w:rPr>
        <w:t>北京市海淀区北三环西路66号北京理工大学国际教育交流大厦7层中国国际公共关系</w:t>
      </w:r>
      <w:r>
        <w:rPr>
          <w:rFonts w:ascii="宋体"/>
          <w:b/>
          <w:szCs w:val="21"/>
        </w:rPr>
        <w:t>协会</w:t>
      </w:r>
      <w:r>
        <w:rPr>
          <w:rFonts w:ascii="宋体" w:hint="eastAsia"/>
          <w:b/>
          <w:szCs w:val="21"/>
        </w:rPr>
        <w:t>警察公共关系专业委员会 于潇老师收（100081）</w:t>
      </w:r>
      <w:r>
        <w:rPr>
          <w:rFonts w:ascii="宋体" w:hint="eastAsia"/>
          <w:szCs w:val="21"/>
        </w:rPr>
        <w:t>,在信封上注明“警察公共关系案例评选”。</w:t>
      </w:r>
    </w:p>
    <w:p w:rsidR="00A139F2" w:rsidRPr="00824862" w:rsidRDefault="00A139F2"/>
    <w:sectPr w:rsidR="00A139F2" w:rsidRPr="00824862" w:rsidSect="00706A4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E32B3"/>
    <w:multiLevelType w:val="multilevel"/>
    <w:tmpl w:val="52AE32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60E46593"/>
    <w:multiLevelType w:val="multilevel"/>
    <w:tmpl w:val="60E465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862"/>
    <w:rsid w:val="00824862"/>
    <w:rsid w:val="00A13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4862"/>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824862"/>
    <w:rPr>
      <w:sz w:val="18"/>
      <w:szCs w:val="18"/>
    </w:rPr>
  </w:style>
  <w:style w:type="character" w:customStyle="1" w:styleId="Char">
    <w:name w:val="批注框文本 Char"/>
    <w:basedOn w:val="a0"/>
    <w:link w:val="a4"/>
    <w:uiPriority w:val="99"/>
    <w:semiHidden/>
    <w:rsid w:val="0082486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Sunjuan</dc:creator>
  <cp:lastModifiedBy>Sunjuan</cp:lastModifiedBy>
  <cp:revision>1</cp:revision>
  <dcterms:created xsi:type="dcterms:W3CDTF">2018-09-20T07:22:00Z</dcterms:created>
  <dcterms:modified xsi:type="dcterms:W3CDTF">2018-09-20T07:22:00Z</dcterms:modified>
</cp:coreProperties>
</file>